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bookmarkStart w:id="0" w:name="__DdeLink__307_154644979"/>
      <w:bookmarkEnd w:id="0"/>
      <w:r>
        <w:rPr>
          <w:rFonts w:ascii="Times New Roman" w:cs="Times New Roman" w:hAnsi="Times New Roman"/>
          <w:sz w:val="24"/>
          <w:szCs w:val="24"/>
        </w:rPr>
        <w:t xml:space="preserve">Sáska     község Önkormányzata Képviselő-testületének </w:t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>
          <w:rFonts w:ascii="Times New Roman" w:cs="Times New Roman" w:hAnsi="Times New Roman"/>
          <w:sz w:val="24"/>
          <w:szCs w:val="24"/>
        </w:rPr>
        <w:t xml:space="preserve">4/2013.(IV.30.) önkormányzati rendelete </w:t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sz w:val="24"/>
          <w:szCs w:val="24"/>
        </w:rPr>
        <w:t xml:space="preserve">a házasságkötéssel összefüggő egyes szabályokról </w:t>
      </w:r>
    </w:p>
    <w:p>
      <w:pPr>
        <w:pStyle w:val="style0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                         </w:t>
      </w:r>
    </w:p>
    <w:p>
      <w:pPr>
        <w:pStyle w:val="style0"/>
        <w:spacing w:after="0" w:before="0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>
          <w:rFonts w:ascii="Times New Roman" w:cs="Times New Roman" w:hAnsi="Times New Roman"/>
          <w:sz w:val="24"/>
          <w:szCs w:val="24"/>
        </w:rPr>
        <w:t>Sáska    község Önkormányzata Képviselő-testületének</w:t>
      </w:r>
    </w:p>
    <w:p>
      <w:pPr>
        <w:pStyle w:val="style0"/>
        <w:spacing w:after="0" w:before="0"/>
        <w:contextualSpacing w:val="false"/>
        <w:jc w:val="center"/>
      </w:pPr>
      <w:r>
        <w:rPr>
          <w:rFonts w:ascii="Times New Roman" w:cs="Times New Roman" w:hAnsi="Times New Roman"/>
          <w:sz w:val="24"/>
          <w:szCs w:val="24"/>
        </w:rPr>
        <w:t>4/2013.(IV.30. önkormányzati rendelete</w:t>
      </w:r>
    </w:p>
    <w:p>
      <w:pPr>
        <w:pStyle w:val="style0"/>
        <w:jc w:val="center"/>
      </w:pPr>
      <w:r>
        <w:rPr>
          <w:rFonts w:ascii="Times New Roman" w:cs="Times New Roman" w:hAnsi="Times New Roman"/>
          <w:sz w:val="24"/>
          <w:szCs w:val="24"/>
        </w:rPr>
        <w:t xml:space="preserve">a házasságkötéssel összefüggő egyes szabályokról </w:t>
      </w:r>
    </w:p>
    <w:p>
      <w:pPr>
        <w:pStyle w:val="style0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Sáska   község Önkormányzata Képviselő-testülete az anyakönyvekről, a házasságkötési eljárásról és a névviselésről szóló 1982. évi 17. törvényerejű rendelet 42/A.§ (4) bekezdésében kapott felhatalmazás alapján, a helyi önkormányzatokról szóló 1990. évi LXV. törvény 16.§. (1) bekezdésében meghatározott feladatkörében eljárva a következőket rendeli el:  </w:t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1.§  A hivatali helyiségen kívüli  és a hivatali, munkaidőn túli házasságkötés (továbbiakban: 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  </w:t>
      </w:r>
      <w:r>
        <w:rPr>
          <w:rFonts w:ascii="Times New Roman" w:cs="Times New Roman" w:hAnsi="Times New Roman"/>
          <w:sz w:val="24"/>
          <w:szCs w:val="24"/>
        </w:rPr>
        <w:t xml:space="preserve">anyakönyvi  esemény) akkor engedélyezhető, ha törvényerejű rendeleten meghatározott 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  </w:t>
      </w:r>
      <w:r>
        <w:rPr>
          <w:rFonts w:ascii="Times New Roman" w:cs="Times New Roman" w:hAnsi="Times New Roman"/>
          <w:sz w:val="24"/>
          <w:szCs w:val="24"/>
        </w:rPr>
        <w:t xml:space="preserve">feltételek megléte mellett az anyakönyvi esemény megtartása nem akadályozza a 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  </w:t>
      </w:r>
      <w:r>
        <w:rPr>
          <w:rFonts w:ascii="Times New Roman" w:cs="Times New Roman" w:hAnsi="Times New Roman"/>
          <w:sz w:val="24"/>
          <w:szCs w:val="24"/>
        </w:rPr>
        <w:t xml:space="preserve">korábban előjegyzésbe vett  anyakönyvi események megtartását. </w:t>
      </w:r>
    </w:p>
    <w:p>
      <w:pPr>
        <w:pStyle w:val="style0"/>
        <w:jc w:val="center"/>
      </w:pPr>
      <w:r>
        <w:rPr/>
      </w:r>
    </w:p>
    <w:p>
      <w:pPr>
        <w:pStyle w:val="style0"/>
        <w:ind w:hanging="851" w:left="851" w:right="0"/>
        <w:jc w:val="both"/>
      </w:pPr>
      <w:r>
        <w:rPr>
          <w:rFonts w:ascii="Times New Roman" w:cs="Times New Roman" w:hAnsi="Times New Roman"/>
          <w:sz w:val="24"/>
          <w:szCs w:val="24"/>
        </w:rPr>
        <w:t>2.§ (1) A hivatali helyiségen kívüli és a hivatali munkaidőn kívüli anyakönyvi eseménnyel          összefüggésben a többletszolgáltatást ellentételezéseként a rendelet 1 mellékletében meghatározott díjat kell megfizetni.</w:t>
      </w:r>
    </w:p>
    <w:p>
      <w:pPr>
        <w:pStyle w:val="style0"/>
        <w:spacing w:after="0" w:before="0" w:line="100" w:lineRule="atLeast"/>
        <w:ind w:hanging="709" w:left="709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   </w:t>
      </w:r>
      <w:r>
        <w:rPr>
          <w:rFonts w:ascii="Times New Roman" w:cs="Times New Roman" w:hAnsi="Times New Roman"/>
          <w:sz w:val="24"/>
          <w:szCs w:val="24"/>
        </w:rPr>
        <w:t>(2)  Az (1) bekezdésben meghatározott díj megfizetése alól mentesülnek az ügyfelek, ha</w:t>
      </w:r>
    </w:p>
    <w:p>
      <w:pPr>
        <w:pStyle w:val="style0"/>
        <w:spacing w:after="0" w:before="0" w:line="100" w:lineRule="atLeast"/>
        <w:ind w:hanging="709" w:left="709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         </w:t>
      </w:r>
      <w:r>
        <w:rPr>
          <w:rFonts w:ascii="Times New Roman" w:cs="Times New Roman" w:hAnsi="Times New Roman"/>
          <w:sz w:val="24"/>
          <w:szCs w:val="24"/>
        </w:rPr>
        <w:t xml:space="preserve">a felek valamelyikének, közeli halálával fenyegető egészségi állapota indokolja a </w:t>
      </w:r>
    </w:p>
    <w:p>
      <w:pPr>
        <w:pStyle w:val="style0"/>
        <w:spacing w:after="0" w:before="0" w:line="100" w:lineRule="atLeast"/>
        <w:ind w:hanging="709" w:left="709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         </w:t>
      </w:r>
      <w:r>
        <w:rPr>
          <w:rFonts w:ascii="Times New Roman" w:cs="Times New Roman" w:hAnsi="Times New Roman"/>
          <w:sz w:val="24"/>
          <w:szCs w:val="24"/>
        </w:rPr>
        <w:t>hivatali  helyiségen  kívüli, vagy hivatali munkaidőn túli anyakönyvi esemény</w:t>
      </w:r>
    </w:p>
    <w:p>
      <w:pPr>
        <w:pStyle w:val="style0"/>
        <w:spacing w:after="0" w:before="0" w:line="100" w:lineRule="atLeast"/>
        <w:ind w:hanging="709" w:left="709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         </w:t>
      </w:r>
      <w:r>
        <w:rPr>
          <w:rFonts w:ascii="Times New Roman" w:cs="Times New Roman" w:hAnsi="Times New Roman"/>
          <w:sz w:val="24"/>
          <w:szCs w:val="24"/>
        </w:rPr>
        <w:t>megtartását.</w:t>
      </w:r>
    </w:p>
    <w:p>
      <w:pPr>
        <w:pStyle w:val="style0"/>
        <w:spacing w:after="0" w:before="0" w:line="100" w:lineRule="atLeast"/>
        <w:ind w:hanging="709" w:left="709" w:right="0"/>
        <w:contextualSpacing w:val="false"/>
        <w:jc w:val="both"/>
      </w:pPr>
      <w:r>
        <w:rPr/>
      </w:r>
    </w:p>
    <w:p>
      <w:pPr>
        <w:pStyle w:val="style0"/>
        <w:ind w:hanging="426" w:left="426" w:right="0"/>
        <w:jc w:val="both"/>
      </w:pPr>
      <w:r>
        <w:rPr>
          <w:rFonts w:ascii="Times New Roman" w:cs="Times New Roman" w:hAnsi="Times New Roman"/>
          <w:sz w:val="24"/>
          <w:szCs w:val="24"/>
        </w:rPr>
        <w:t>3.§ Ha az anyakönyvvezető a köztisztviselők jogállásáról szóló törvényben a rendkívüli                munkavégzésért meghatározott szabadidő kiadását nem kéri, abban az esetben az anyakönyvvezetőt   a kifizetéskori illetményének a szabadidőre járó arányos összege illeti meg.</w:t>
      </w:r>
    </w:p>
    <w:p>
      <w:pPr>
        <w:pStyle w:val="style0"/>
      </w:pPr>
      <w:r>
        <w:rPr>
          <w:rFonts w:ascii="Times New Roman" w:cs="Times New Roman" w:hAnsi="Times New Roman"/>
          <w:sz w:val="24"/>
          <w:szCs w:val="24"/>
        </w:rPr>
        <w:t xml:space="preserve">4.§  Ez a rendelet  kihirdetését követő első nap  lép hatályba. </w:t>
      </w:r>
    </w:p>
    <w:p>
      <w:pPr>
        <w:pStyle w:val="style0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</w:pPr>
      <w:r>
        <w:rPr/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           </w:t>
      </w:r>
      <w:r>
        <w:rPr>
          <w:rFonts w:ascii="Times New Roman" w:cs="Times New Roman" w:hAnsi="Times New Roman"/>
          <w:sz w:val="24"/>
          <w:szCs w:val="24"/>
        </w:rPr>
        <w:t xml:space="preserve">Kovács Nándor         </w:t>
        <w:tab/>
        <w:tab/>
        <w:tab/>
        <w:tab/>
        <w:tab/>
        <w:tab/>
        <w:t>Takács Lászlóné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              </w:t>
      </w:r>
      <w:r>
        <w:rPr>
          <w:rFonts w:ascii="Times New Roman" w:cs="Times New Roman" w:hAnsi="Times New Roman"/>
          <w:sz w:val="24"/>
          <w:szCs w:val="24"/>
        </w:rPr>
        <w:t xml:space="preserve">polgármester </w:t>
        <w:tab/>
        <w:tab/>
        <w:tab/>
        <w:tab/>
        <w:t xml:space="preserve">                              jegyző </w:t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Rendelet kihirdetve: 2013. április 30. </w:t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Takács Lászlóné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jegyző </w:t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1 melléklet a házasságkötéssel összefüggő egyes szabályokról szóló 4/2013.(IV.30.) önkormányzati rendelethez</w:t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22"/>
        <w:numPr>
          <w:ilvl w:val="0"/>
          <w:numId w:val="1"/>
        </w:numPr>
        <w:spacing w:after="0" w:before="0"/>
        <w:contextualSpacing/>
      </w:pPr>
      <w:r>
        <w:rPr>
          <w:rFonts w:ascii="Times New Roman" w:cs="Times New Roman" w:hAnsi="Times New Roman"/>
          <w:sz w:val="24"/>
          <w:szCs w:val="24"/>
        </w:rPr>
        <w:t>Hivatali helyiségen kívüli anyakönyvi esemény megtartása esetén az ügyfél által fizetendő díj:                 10.000.-ft.</w:t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22"/>
        <w:numPr>
          <w:ilvl w:val="0"/>
          <w:numId w:val="1"/>
        </w:numPr>
        <w:spacing w:after="0" w:before="0"/>
        <w:contextualSpacing/>
      </w:pPr>
      <w:r>
        <w:rPr>
          <w:rFonts w:ascii="Times New Roman" w:cs="Times New Roman" w:hAnsi="Times New Roman"/>
          <w:sz w:val="24"/>
          <w:szCs w:val="24"/>
        </w:rPr>
        <w:t xml:space="preserve">Hivatali munkaidőn kívüli anyakönyvi esemény megtartása esetén az ügyfél által fizetendő díj:                   5000.-ft. </w:t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Az e mellékletben meghatározott díjak az általános forgalmi adót nem tartalmazzák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tbl>
      <w:tblPr>
        <w:jc w:val="left"/>
        <w:tblInd w:type="dxa" w:w="-82"/>
        <w:tblBorders>
          <w:top w:val="none"/>
          <w:left w:val="none"/>
          <w:bottom w:val="none"/>
          <w:insideH w:val="none"/>
          <w:right w:val="none"/>
          <w:insideV w:val="none"/>
        </w:tblBorders>
        <w:tblCellMar>
          <w:top w:type="dxa" w:w="15"/>
          <w:left w:type="dxa" w:w="15"/>
          <w:bottom w:type="dxa" w:w="15"/>
          <w:right w:type="dxa" w:w="15"/>
        </w:tblCellMar>
      </w:tblPr>
      <w:tblGrid>
        <w:gridCol w:w="9630"/>
      </w:tblGrid>
      <w:tr>
        <w:trPr>
          <w:trHeight w:hRule="atLeast" w:val="2385"/>
          <w:cantSplit w:val="false"/>
        </w:trPr>
        <w:tc>
          <w:tcPr>
            <w:tcW w:type="dxa" w:w="9630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spacing w:after="240" w:before="240" w:line="27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Előzetes hatásvizsgálat</w:t>
            </w:r>
          </w:p>
          <w:p>
            <w:pPr>
              <w:pStyle w:val="style0"/>
              <w:spacing w:after="240" w:before="240" w:line="27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„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a jogalkotásról” szóló 2010. évi CXXX. törvény 17.§ (1) bekezdése alapján</w:t>
            </w:r>
          </w:p>
          <w:p>
            <w:pPr>
              <w:pStyle w:val="style0"/>
              <w:spacing w:after="240" w:before="240" w:line="27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  <w:lang w:eastAsia="hu-HU"/>
              </w:rPr>
              <w:t xml:space="preserve">A rendelet-tervezet címe: </w:t>
            </w:r>
          </w:p>
          <w:p>
            <w:pPr>
              <w:pStyle w:val="style0"/>
              <w:spacing w:after="240" w:before="240" w:line="27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hu-HU"/>
              </w:rPr>
              <w:t>Sáska  község  Önkormányzata Képviselő–testületének 4/2013.(IV.30.) önkormányzati rendelete a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házasságkötéssel összefüggő egyes szabályokról.</w:t>
            </w:r>
          </w:p>
          <w:p>
            <w:pPr>
              <w:pStyle w:val="style0"/>
              <w:spacing w:after="240" w:before="240" w:line="27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  <w:lang w:eastAsia="hu-HU"/>
              </w:rPr>
              <w:t xml:space="preserve">A tervezett jogszabály társadalmi, gazdasági, költségvetési hatásai: </w:t>
            </w:r>
          </w:p>
          <w:p>
            <w:pPr>
              <w:pStyle w:val="style0"/>
              <w:spacing w:after="240" w:before="240" w:line="27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Önkormányzat az anyagkönyvi eseményekért mostanáig nem szedett díjat, függetlenül annak helyétől és idejétől. A megváltozott jogszabályi környezet ad lehetőséget helyi rendelettel történő szabályozásra a hivatali munkaidőn túli és a hivatali helyiségen kívüli házasságkötésekre fizetendő díjakról. A szerényebb házasságkötési szertartást igénylők részére pedig továbbra is ingyenes a munkaidőben és hivatali helyiségben megtartott anyagkönyvi esemény. Tehát a díjak szabályozása miatt nem várható a házasságkötések számának csökkenése. A rendelettervezet jelentős gazdasági és költségvetési hatásokat nem keletkeztet. Az anyagkönyvi eseményekből esetlegesen származó többletfeladatok az önkormányzat oldalán többletköltséget jelentenek, amelyeket a tervezet az anyakönyvi eseményeket igénybe vevőkre hárít.</w:t>
            </w:r>
          </w:p>
          <w:p>
            <w:pPr>
              <w:pStyle w:val="style0"/>
              <w:spacing w:after="240" w:before="240" w:line="27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  <w:lang w:eastAsia="hu-HU"/>
              </w:rPr>
              <w:t>Környezeti, egészségi következményei:</w:t>
            </w:r>
          </w:p>
          <w:p>
            <w:pPr>
              <w:pStyle w:val="style0"/>
              <w:spacing w:after="240" w:before="240" w:line="27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hu-HU"/>
              </w:rPr>
              <w:t>A tervezetben foglaltaknak közvetlen környezeti és egészségi következményei nincsenek.</w:t>
            </w:r>
          </w:p>
          <w:p>
            <w:pPr>
              <w:pStyle w:val="style0"/>
              <w:spacing w:after="240" w:before="240" w:line="27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  <w:lang w:eastAsia="hu-HU"/>
              </w:rPr>
              <w:t>Adminisztratív terheket befolyásoló hatása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hu-HU"/>
              </w:rPr>
              <w:t>:</w:t>
            </w:r>
          </w:p>
          <w:p>
            <w:pPr>
              <w:pStyle w:val="style0"/>
              <w:spacing w:after="240" w:before="240" w:line="27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 tervezet adminisztratív terheket nem keletkeztet. Az anyagkönyvi eseményekhez közvetlenül kapcsolódó adminisztratív terhek többnyire függetlenek az anyagkönyvi esemény helyszínétől vagy időpontjától. </w:t>
            </w:r>
          </w:p>
          <w:p>
            <w:pPr>
              <w:pStyle w:val="style0"/>
              <w:spacing w:after="240" w:before="240" w:line="27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  <w:lang w:eastAsia="hu-HU"/>
              </w:rPr>
              <w:t xml:space="preserve">A rendelet megalkotásának szükségessége: </w:t>
            </w:r>
          </w:p>
          <w:p>
            <w:pPr>
              <w:pStyle w:val="style0"/>
              <w:spacing w:after="240" w:before="240" w:line="27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hu-HU"/>
              </w:rPr>
              <w:t>Jogszabályi felhatalmazás. A szükségességét az anyakönyvi események lebonyolítására vonatkozó társadalmi igény, valamint az Alkotmánybíróság által is megerősített állami kötelezettség (anyagkönyvi események feltételeinek és akadályainak körültekintő és differenciált meghatározása) indokolja.</w:t>
            </w:r>
          </w:p>
          <w:p>
            <w:pPr>
              <w:pStyle w:val="style0"/>
              <w:spacing w:after="240" w:before="240" w:line="27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  <w:lang w:eastAsia="hu-HU"/>
              </w:rPr>
              <w:t>A rendelet megalkotása elmaradása esetén várható következmények:</w:t>
            </w:r>
          </w:p>
          <w:p>
            <w:pPr>
              <w:pStyle w:val="style0"/>
              <w:spacing w:after="240" w:before="240" w:line="27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hu-HU"/>
              </w:rPr>
              <w:t>Nincs, illetőleg a szabályozás elmaradása esetén többletköltségek az önkormányzatot terhelik.</w:t>
            </w:r>
          </w:p>
          <w:p>
            <w:pPr>
              <w:pStyle w:val="style0"/>
              <w:spacing w:after="240" w:before="240" w:line="27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single"/>
                <w:lang w:eastAsia="hu-HU"/>
              </w:rPr>
              <w:t>A rendelet alkalmazásához szükséges személyi, szervezeti, tárgyi  feltételek:</w:t>
            </w:r>
          </w:p>
          <w:p>
            <w:pPr>
              <w:pStyle w:val="style0"/>
              <w:spacing w:after="240" w:before="240" w:line="27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hu-HU"/>
              </w:rPr>
              <w:t>Személyi,szervezeti, és tárgyi  feltételek adottak.</w:t>
            </w:r>
          </w:p>
          <w:p>
            <w:pPr>
              <w:pStyle w:val="style0"/>
              <w:spacing w:after="0" w:before="24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hu-HU"/>
              </w:rPr>
              <w:t>Sáska, 2013. április 30.                                                        Takács Lászlóné</w:t>
            </w:r>
          </w:p>
          <w:p>
            <w:pPr>
              <w:pStyle w:val="style0"/>
              <w:spacing w:after="240" w:before="240" w:line="27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                                                                                                </w:t>
            </w:r>
            <w:bookmarkStart w:id="1" w:name="_GoBack"/>
            <w:bookmarkEnd w:id="1"/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jegyző </w:t>
            </w:r>
          </w:p>
        </w:tc>
      </w:tr>
    </w:tbl>
    <w:p>
      <w:pPr>
        <w:pStyle w:val="style0"/>
        <w:pBdr>
          <w:top w:val="none"/>
          <w:left w:val="none"/>
          <w:bottom w:color="D2DADB" w:space="0" w:sz="6" w:val="single"/>
          <w:insideH w:color="D2DADB" w:space="0" w:sz="6" w:val="single"/>
          <w:right w:val="none"/>
          <w:insideV w:val="none"/>
        </w:pBdr>
        <w:shd w:fill="FFFFFF" w:val="clear"/>
        <w:spacing w:after="180" w:before="0" w:line="270" w:lineRule="atLeast"/>
        <w:ind w:hanging="0" w:left="0" w:right="-465"/>
        <w:contextualSpacing w:val="false"/>
      </w:pPr>
      <w:r>
        <w:rPr/>
      </w:r>
    </w:p>
    <w:sectPr>
      <w:type w:val="nextPage"/>
      <w:pgSz w:h="16838" w:w="11906"/>
      <w:pgMar w:bottom="1417" w:footer="0" w:gutter="0" w:header="0" w:left="1417" w:right="859" w:top="1417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"/>
      <w:lvlJc w:val="left"/>
      <w:pPr>
        <w:ind w:hanging="360" w:left="720"/>
      </w:pPr>
    </w:lvl>
    <w:lvl w:ilvl="1">
      <w:start w:val="1"/>
      <w:numFmt w:val="lowerLetter"/>
      <w:lvlText w:val="%2"/>
      <w:lvlJc w:val="left"/>
      <w:pPr>
        <w:ind w:hanging="360" w:left="1440"/>
      </w:pPr>
    </w:lvl>
    <w:lvl w:ilvl="2">
      <w:start w:val="1"/>
      <w:numFmt w:val="lowerRoman"/>
      <w:lvlText w:val="%3"/>
      <w:lvlJc w:val="right"/>
      <w:pPr>
        <w:ind w:hanging="180" w:left="2160"/>
      </w:pPr>
    </w:lvl>
    <w:lvl w:ilvl="3">
      <w:start w:val="1"/>
      <w:numFmt w:val="decimal"/>
      <w:lvlText w:val="%4"/>
      <w:lvlJc w:val="left"/>
      <w:pPr>
        <w:ind w:hanging="360" w:left="2880"/>
      </w:pPr>
    </w:lvl>
    <w:lvl w:ilvl="4">
      <w:start w:val="1"/>
      <w:numFmt w:val="lowerLetter"/>
      <w:lvlText w:val="%5"/>
      <w:lvlJc w:val="left"/>
      <w:pPr>
        <w:ind w:hanging="360" w:left="3600"/>
      </w:pPr>
    </w:lvl>
    <w:lvl w:ilvl="5">
      <w:start w:val="1"/>
      <w:numFmt w:val="lowerRoman"/>
      <w:lvlText w:val="%6"/>
      <w:lvlJc w:val="right"/>
      <w:pPr>
        <w:ind w:hanging="180" w:left="4320"/>
      </w:pPr>
    </w:lvl>
    <w:lvl w:ilvl="6">
      <w:start w:val="1"/>
      <w:numFmt w:val="decimal"/>
      <w:lvlText w:val="%7"/>
      <w:lvlJc w:val="left"/>
      <w:pPr>
        <w:ind w:hanging="360" w:left="5040"/>
      </w:pPr>
    </w:lvl>
    <w:lvl w:ilvl="7">
      <w:start w:val="1"/>
      <w:numFmt w:val="lowerLetter"/>
      <w:lvlText w:val="%8"/>
      <w:lvlJc w:val="left"/>
      <w:pPr>
        <w:ind w:hanging="360" w:left="5760"/>
      </w:pPr>
    </w:lvl>
    <w:lvl w:ilvl="8">
      <w:start w:val="1"/>
      <w:numFmt w:val="lowerRoman"/>
      <w:lvlText w:val="%9"/>
      <w:lvlJc w:val="right"/>
      <w:pPr>
        <w:ind w:hanging="180" w:left="64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Alapértelmezett stílus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Lucida Sans Unicode" w:hAnsi="Calibri"/>
      <w:color w:val="00000A"/>
      <w:sz w:val="22"/>
      <w:szCs w:val="22"/>
      <w:lang w:bidi="ar-SA" w:eastAsia="en-US" w:val="hu-HU"/>
    </w:rPr>
  </w:style>
  <w:style w:styleId="style15" w:type="character">
    <w:name w:val="Default Paragraph Font"/>
    <w:next w:val="style15"/>
    <w:rPr/>
  </w:style>
  <w:style w:styleId="style16" w:type="character">
    <w:name w:val="Buborékszöveg Char"/>
    <w:basedOn w:val="style15"/>
    <w:next w:val="style16"/>
    <w:rPr>
      <w:rFonts w:ascii="Tahoma" w:cs="Tahoma" w:hAnsi="Tahoma"/>
      <w:sz w:val="16"/>
      <w:szCs w:val="16"/>
    </w:rPr>
  </w:style>
  <w:style w:styleId="style17" w:type="paragraph">
    <w:name w:val="Címsor"/>
    <w:basedOn w:val="style0"/>
    <w:next w:val="style18"/>
    <w:pPr>
      <w:keepNext/>
      <w:spacing w:after="120" w:before="240"/>
      <w:contextualSpacing w:val="false"/>
    </w:pPr>
    <w:rPr>
      <w:rFonts w:ascii="Arial" w:cs="Mangal" w:eastAsia="Lucida Sans Unicode" w:hAnsi="Arial"/>
      <w:sz w:val="28"/>
      <w:szCs w:val="28"/>
    </w:rPr>
  </w:style>
  <w:style w:styleId="style18" w:type="paragraph">
    <w:name w:val="Szövegtörzs"/>
    <w:basedOn w:val="style0"/>
    <w:next w:val="style18"/>
    <w:pPr>
      <w:spacing w:after="120" w:before="0"/>
      <w:contextualSpacing w:val="false"/>
    </w:pPr>
    <w:rPr/>
  </w:style>
  <w:style w:styleId="style19" w:type="paragraph">
    <w:name w:val="Lista"/>
    <w:basedOn w:val="style18"/>
    <w:next w:val="style19"/>
    <w:pPr/>
    <w:rPr>
      <w:rFonts w:cs="Mangal"/>
    </w:rPr>
  </w:style>
  <w:style w:styleId="style20" w:type="paragraph">
    <w:name w:val="Felirat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Tárgymutató"/>
    <w:basedOn w:val="style0"/>
    <w:next w:val="style21"/>
    <w:pPr>
      <w:suppressLineNumbers/>
    </w:pPr>
    <w:rPr>
      <w:rFonts w:cs="Mangal"/>
    </w:rPr>
  </w:style>
  <w:style w:styleId="style22" w:type="paragraph">
    <w:name w:val="List Paragraph"/>
    <w:basedOn w:val="style0"/>
    <w:next w:val="style22"/>
    <w:pPr>
      <w:spacing w:after="200" w:before="0"/>
      <w:ind w:hanging="0" w:left="720" w:right="0"/>
      <w:contextualSpacing/>
    </w:pPr>
    <w:rPr/>
  </w:style>
  <w:style w:styleId="style23" w:type="paragraph">
    <w:name w:val="Balloon Text"/>
    <w:basedOn w:val="style0"/>
    <w:next w:val="style23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2013-03-22T10:43:00.00Z</dcterms:created>
  <dc:creator>Takács Lászlóné</dc:creator>
  <cp:lastModifiedBy>Takács Lászlóné</cp:lastModifiedBy>
  <cp:lastPrinted>2013-03-22T11:22:00.00Z</cp:lastPrinted>
  <dcterms:modified xsi:type="dcterms:W3CDTF">2013-03-22T11:25:00.00Z</dcterms:modified>
  <cp:revision>1</cp:revision>
</cp:coreProperties>
</file>